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86" w:rsidRDefault="004C1C86" w:rsidP="00742629">
      <w:pPr>
        <w:spacing w:line="220" w:lineRule="atLeast"/>
        <w:jc w:val="center"/>
      </w:pPr>
      <w:r>
        <w:rPr>
          <w:rFonts w:hint="eastAsia"/>
        </w:rPr>
        <w:t>舟山市公安局交通警察支队定海大队</w:t>
      </w:r>
    </w:p>
    <w:p w:rsidR="004358AB" w:rsidRDefault="004C1C86" w:rsidP="00742629">
      <w:pPr>
        <w:spacing w:line="220" w:lineRule="atLeast"/>
        <w:jc w:val="center"/>
      </w:pPr>
      <w:r w:rsidRPr="004C1C86">
        <w:rPr>
          <w:rFonts w:hint="eastAsia"/>
        </w:rPr>
        <w:t>关于逾期不接受处理的</w:t>
      </w:r>
      <w:r w:rsidR="00CD3AFF">
        <w:rPr>
          <w:rFonts w:hint="eastAsia"/>
        </w:rPr>
        <w:t>违法行为人</w:t>
      </w:r>
      <w:r w:rsidRPr="004C1C86">
        <w:rPr>
          <w:rFonts w:hint="eastAsia"/>
        </w:rPr>
        <w:t>拟作出行政处罚决定的公告</w:t>
      </w:r>
    </w:p>
    <w:p w:rsidR="004C1C86" w:rsidRDefault="004C1C86" w:rsidP="00742629">
      <w:pPr>
        <w:spacing w:line="220" w:lineRule="atLeast"/>
        <w:ind w:firstLineChars="200" w:firstLine="440"/>
      </w:pPr>
      <w:r>
        <w:rPr>
          <w:rFonts w:hint="eastAsia"/>
        </w:rPr>
        <w:t>下列</w:t>
      </w:r>
      <w:r w:rsidR="00CD3AFF">
        <w:rPr>
          <w:rFonts w:hint="eastAsia"/>
        </w:rPr>
        <w:t>违法行为人</w:t>
      </w:r>
      <w:r>
        <w:rPr>
          <w:rFonts w:hint="eastAsia"/>
        </w:rPr>
        <w:t>因实施饮酒后驾驶机动车等的道路交通安全违法行为被公安机关交通管理部门查获，超过</w:t>
      </w:r>
      <w:r>
        <w:rPr>
          <w:rFonts w:hint="eastAsia"/>
        </w:rPr>
        <w:t>15</w:t>
      </w:r>
      <w:r>
        <w:rPr>
          <w:rFonts w:hint="eastAsia"/>
        </w:rPr>
        <w:t>日未接受处理。根据《中华人民共和国行政处罚法》第</w:t>
      </w:r>
      <w:r>
        <w:rPr>
          <w:rFonts w:hint="eastAsia"/>
        </w:rPr>
        <w:t>31</w:t>
      </w:r>
      <w:r>
        <w:rPr>
          <w:rFonts w:hint="eastAsia"/>
        </w:rPr>
        <w:t>条、《公安机关办理行政案件程序规定》第</w:t>
      </w:r>
      <w:r>
        <w:rPr>
          <w:rFonts w:hint="eastAsia"/>
        </w:rPr>
        <w:t>168</w:t>
      </w:r>
      <w:r>
        <w:rPr>
          <w:rFonts w:hint="eastAsia"/>
        </w:rPr>
        <w:t>条和《道路交通安全违法行为处理程序规定》第</w:t>
      </w:r>
      <w:r>
        <w:rPr>
          <w:rFonts w:hint="eastAsia"/>
        </w:rPr>
        <w:t>54</w:t>
      </w:r>
      <w:r>
        <w:rPr>
          <w:rFonts w:hint="eastAsia"/>
        </w:rPr>
        <w:t>条规定，现将拟作出行政处罚</w:t>
      </w:r>
      <w:r w:rsidR="00CD3AFF">
        <w:rPr>
          <w:rFonts w:hint="eastAsia"/>
        </w:rPr>
        <w:t>决定的</w:t>
      </w:r>
      <w:r>
        <w:rPr>
          <w:rFonts w:hint="eastAsia"/>
        </w:rPr>
        <w:t>事实、理由、依据</w:t>
      </w:r>
      <w:r w:rsidR="00CD3AFF">
        <w:rPr>
          <w:rFonts w:hint="eastAsia"/>
        </w:rPr>
        <w:t>以及公告期届满后将依法作出行政处罚决定</w:t>
      </w:r>
      <w:r>
        <w:rPr>
          <w:rFonts w:hint="eastAsia"/>
        </w:rPr>
        <w:t>进行公告告知。</w:t>
      </w:r>
    </w:p>
    <w:tbl>
      <w:tblPr>
        <w:tblStyle w:val="a3"/>
        <w:tblW w:w="0" w:type="auto"/>
        <w:tblLook w:val="04A0"/>
      </w:tblPr>
      <w:tblGrid>
        <w:gridCol w:w="1420"/>
        <w:gridCol w:w="2378"/>
        <w:gridCol w:w="1420"/>
        <w:gridCol w:w="2403"/>
        <w:gridCol w:w="2552"/>
        <w:gridCol w:w="3827"/>
      </w:tblGrid>
      <w:tr w:rsidR="00C84381" w:rsidRPr="00742629" w:rsidTr="00742629">
        <w:tc>
          <w:tcPr>
            <w:tcW w:w="1420" w:type="dxa"/>
            <w:vAlign w:val="center"/>
          </w:tcPr>
          <w:p w:rsidR="00C84381" w:rsidRPr="00742629" w:rsidRDefault="00C84381" w:rsidP="00742629">
            <w:pPr>
              <w:spacing w:line="220" w:lineRule="atLeast"/>
              <w:jc w:val="center"/>
              <w:rPr>
                <w:sz w:val="18"/>
                <w:szCs w:val="18"/>
              </w:rPr>
            </w:pPr>
            <w:r w:rsidRPr="00742629">
              <w:rPr>
                <w:rFonts w:hint="eastAsia"/>
                <w:sz w:val="18"/>
                <w:szCs w:val="18"/>
              </w:rPr>
              <w:t>违法行为人姓名</w:t>
            </w:r>
          </w:p>
        </w:tc>
        <w:tc>
          <w:tcPr>
            <w:tcW w:w="2378" w:type="dxa"/>
            <w:vAlign w:val="center"/>
          </w:tcPr>
          <w:p w:rsidR="00C84381" w:rsidRPr="00742629" w:rsidRDefault="00C84381" w:rsidP="00742629">
            <w:pPr>
              <w:spacing w:line="220" w:lineRule="atLeast"/>
              <w:jc w:val="center"/>
              <w:rPr>
                <w:sz w:val="18"/>
                <w:szCs w:val="18"/>
              </w:rPr>
            </w:pPr>
            <w:r w:rsidRPr="00742629">
              <w:rPr>
                <w:rFonts w:hint="eastAsia"/>
                <w:sz w:val="18"/>
                <w:szCs w:val="18"/>
              </w:rPr>
              <w:t>居民身份证号码</w:t>
            </w:r>
          </w:p>
        </w:tc>
        <w:tc>
          <w:tcPr>
            <w:tcW w:w="1420" w:type="dxa"/>
            <w:vAlign w:val="center"/>
          </w:tcPr>
          <w:p w:rsidR="00C84381" w:rsidRPr="00742629" w:rsidRDefault="00C84381" w:rsidP="00742629">
            <w:pPr>
              <w:spacing w:line="220" w:lineRule="atLeast"/>
              <w:jc w:val="center"/>
              <w:rPr>
                <w:sz w:val="18"/>
                <w:szCs w:val="18"/>
              </w:rPr>
            </w:pPr>
            <w:r w:rsidRPr="00742629">
              <w:rPr>
                <w:rFonts w:hint="eastAsia"/>
                <w:sz w:val="18"/>
                <w:szCs w:val="18"/>
              </w:rPr>
              <w:t>违法时间</w:t>
            </w:r>
          </w:p>
        </w:tc>
        <w:tc>
          <w:tcPr>
            <w:tcW w:w="2403" w:type="dxa"/>
            <w:vAlign w:val="center"/>
          </w:tcPr>
          <w:p w:rsidR="00C84381" w:rsidRPr="00742629" w:rsidRDefault="00C84381" w:rsidP="00742629">
            <w:pPr>
              <w:spacing w:line="220" w:lineRule="atLeast"/>
              <w:jc w:val="center"/>
              <w:rPr>
                <w:sz w:val="18"/>
                <w:szCs w:val="18"/>
              </w:rPr>
            </w:pPr>
            <w:r w:rsidRPr="00742629">
              <w:rPr>
                <w:rFonts w:hint="eastAsia"/>
                <w:sz w:val="18"/>
                <w:szCs w:val="18"/>
              </w:rPr>
              <w:t>违法行为</w:t>
            </w:r>
          </w:p>
        </w:tc>
        <w:tc>
          <w:tcPr>
            <w:tcW w:w="2552" w:type="dxa"/>
            <w:vAlign w:val="center"/>
          </w:tcPr>
          <w:p w:rsidR="00C84381" w:rsidRPr="00742629" w:rsidRDefault="00C84381" w:rsidP="00742629">
            <w:pPr>
              <w:spacing w:line="220" w:lineRule="atLeast"/>
              <w:jc w:val="center"/>
              <w:rPr>
                <w:sz w:val="18"/>
                <w:szCs w:val="18"/>
              </w:rPr>
            </w:pPr>
            <w:r w:rsidRPr="00742629">
              <w:rPr>
                <w:rFonts w:hint="eastAsia"/>
                <w:sz w:val="18"/>
                <w:szCs w:val="18"/>
              </w:rPr>
              <w:t>处罚依据</w:t>
            </w:r>
          </w:p>
        </w:tc>
        <w:tc>
          <w:tcPr>
            <w:tcW w:w="3827" w:type="dxa"/>
            <w:vAlign w:val="center"/>
          </w:tcPr>
          <w:p w:rsidR="00C84381" w:rsidRPr="00742629" w:rsidRDefault="00C84381" w:rsidP="00742629">
            <w:pPr>
              <w:spacing w:line="220" w:lineRule="atLeast"/>
              <w:jc w:val="center"/>
              <w:rPr>
                <w:sz w:val="18"/>
                <w:szCs w:val="18"/>
              </w:rPr>
            </w:pPr>
            <w:r w:rsidRPr="00742629">
              <w:rPr>
                <w:rFonts w:hint="eastAsia"/>
                <w:sz w:val="18"/>
                <w:szCs w:val="18"/>
              </w:rPr>
              <w:t>拟作出的处罚决定</w:t>
            </w:r>
          </w:p>
        </w:tc>
      </w:tr>
      <w:tr w:rsidR="00C84381" w:rsidRPr="00742629" w:rsidTr="00742629">
        <w:tc>
          <w:tcPr>
            <w:tcW w:w="1420" w:type="dxa"/>
            <w:vAlign w:val="center"/>
          </w:tcPr>
          <w:p w:rsidR="00C84381" w:rsidRPr="00742629" w:rsidRDefault="00C84381" w:rsidP="00742629">
            <w:pPr>
              <w:spacing w:line="220" w:lineRule="atLeast"/>
              <w:jc w:val="center"/>
              <w:rPr>
                <w:sz w:val="18"/>
                <w:szCs w:val="18"/>
              </w:rPr>
            </w:pPr>
            <w:r w:rsidRPr="00742629">
              <w:rPr>
                <w:rFonts w:hint="eastAsia"/>
                <w:sz w:val="18"/>
                <w:szCs w:val="18"/>
              </w:rPr>
              <w:t>蔡细平</w:t>
            </w:r>
          </w:p>
        </w:tc>
        <w:tc>
          <w:tcPr>
            <w:tcW w:w="2378" w:type="dxa"/>
            <w:vAlign w:val="center"/>
          </w:tcPr>
          <w:p w:rsidR="00C84381" w:rsidRPr="00742629" w:rsidRDefault="00C84381" w:rsidP="00742629">
            <w:pPr>
              <w:spacing w:line="220" w:lineRule="atLeast"/>
              <w:jc w:val="center"/>
              <w:rPr>
                <w:sz w:val="18"/>
                <w:szCs w:val="18"/>
              </w:rPr>
            </w:pPr>
            <w:r w:rsidRPr="00742629">
              <w:rPr>
                <w:sz w:val="18"/>
                <w:szCs w:val="18"/>
              </w:rPr>
              <w:t>42112519</w:t>
            </w:r>
            <w:r w:rsidR="008F6DAC" w:rsidRPr="00742629">
              <w:rPr>
                <w:rFonts w:hint="eastAsia"/>
                <w:sz w:val="18"/>
                <w:szCs w:val="18"/>
              </w:rPr>
              <w:t>******</w:t>
            </w:r>
            <w:r w:rsidRPr="00742629">
              <w:rPr>
                <w:sz w:val="18"/>
                <w:szCs w:val="18"/>
              </w:rPr>
              <w:t>0176</w:t>
            </w:r>
          </w:p>
        </w:tc>
        <w:tc>
          <w:tcPr>
            <w:tcW w:w="1420" w:type="dxa"/>
            <w:vAlign w:val="center"/>
          </w:tcPr>
          <w:p w:rsidR="00C84381" w:rsidRPr="00742629" w:rsidRDefault="00097A28" w:rsidP="00742629">
            <w:pPr>
              <w:spacing w:line="220" w:lineRule="atLeast"/>
              <w:jc w:val="center"/>
              <w:rPr>
                <w:sz w:val="18"/>
                <w:szCs w:val="18"/>
              </w:rPr>
            </w:pPr>
            <w:r w:rsidRPr="00742629">
              <w:rPr>
                <w:sz w:val="18"/>
                <w:szCs w:val="18"/>
              </w:rPr>
              <w:t>2017-03-02</w:t>
            </w:r>
          </w:p>
        </w:tc>
        <w:tc>
          <w:tcPr>
            <w:tcW w:w="2403" w:type="dxa"/>
            <w:vAlign w:val="center"/>
          </w:tcPr>
          <w:p w:rsidR="00C84381" w:rsidRPr="00742629" w:rsidRDefault="00097A28" w:rsidP="00742629">
            <w:pPr>
              <w:spacing w:line="220" w:lineRule="atLeast"/>
              <w:jc w:val="center"/>
              <w:rPr>
                <w:sz w:val="18"/>
                <w:szCs w:val="18"/>
              </w:rPr>
            </w:pPr>
            <w:r w:rsidRPr="00742629">
              <w:rPr>
                <w:rFonts w:hint="eastAsia"/>
                <w:sz w:val="18"/>
                <w:szCs w:val="18"/>
              </w:rPr>
              <w:t>饮酒后驾驶机动车的</w:t>
            </w:r>
            <w:r w:rsidRPr="00742629">
              <w:rPr>
                <w:rFonts w:hint="eastAsia"/>
                <w:sz w:val="18"/>
                <w:szCs w:val="18"/>
              </w:rPr>
              <w:t xml:space="preserve">; </w:t>
            </w:r>
            <w:r w:rsidRPr="00742629">
              <w:rPr>
                <w:rFonts w:hint="eastAsia"/>
                <w:sz w:val="18"/>
                <w:szCs w:val="18"/>
              </w:rPr>
              <w:t>驾驶人在驾驶证超过有效期仍驾驶机动车的</w:t>
            </w:r>
          </w:p>
        </w:tc>
        <w:tc>
          <w:tcPr>
            <w:tcW w:w="2552" w:type="dxa"/>
            <w:vAlign w:val="center"/>
          </w:tcPr>
          <w:p w:rsidR="00C84381" w:rsidRPr="00742629" w:rsidRDefault="009C2B0B" w:rsidP="00742629">
            <w:pPr>
              <w:spacing w:line="220" w:lineRule="atLeast"/>
              <w:jc w:val="center"/>
              <w:rPr>
                <w:sz w:val="18"/>
                <w:szCs w:val="18"/>
              </w:rPr>
            </w:pPr>
            <w:r w:rsidRPr="00742629">
              <w:rPr>
                <w:rFonts w:hint="eastAsia"/>
                <w:sz w:val="18"/>
                <w:szCs w:val="18"/>
              </w:rPr>
              <w:t>《中华人民共和国道路交通安全法》第</w:t>
            </w:r>
            <w:r w:rsidRPr="00742629">
              <w:rPr>
                <w:rFonts w:hint="eastAsia"/>
                <w:sz w:val="18"/>
                <w:szCs w:val="18"/>
              </w:rPr>
              <w:t>91</w:t>
            </w:r>
            <w:r w:rsidRPr="00742629">
              <w:rPr>
                <w:rFonts w:hint="eastAsia"/>
                <w:sz w:val="18"/>
                <w:szCs w:val="18"/>
              </w:rPr>
              <w:t>条第</w:t>
            </w:r>
            <w:r w:rsidRPr="00742629">
              <w:rPr>
                <w:rFonts w:hint="eastAsia"/>
                <w:sz w:val="18"/>
                <w:szCs w:val="18"/>
              </w:rPr>
              <w:t>1</w:t>
            </w:r>
            <w:r w:rsidRPr="00742629">
              <w:rPr>
                <w:rFonts w:hint="eastAsia"/>
                <w:sz w:val="18"/>
                <w:szCs w:val="18"/>
              </w:rPr>
              <w:t>款；《浙江省实施</w:t>
            </w:r>
            <w:r w:rsidRPr="00742629">
              <w:rPr>
                <w:rFonts w:hint="eastAsia"/>
                <w:sz w:val="18"/>
                <w:szCs w:val="18"/>
              </w:rPr>
              <w:t>&lt;</w:t>
            </w:r>
            <w:r w:rsidRPr="00742629">
              <w:rPr>
                <w:rFonts w:hint="eastAsia"/>
                <w:sz w:val="18"/>
                <w:szCs w:val="18"/>
              </w:rPr>
              <w:t>中华人民共和国道路交通安全法</w:t>
            </w:r>
            <w:r w:rsidRPr="00742629">
              <w:rPr>
                <w:rFonts w:hint="eastAsia"/>
                <w:sz w:val="18"/>
                <w:szCs w:val="18"/>
              </w:rPr>
              <w:t>&gt;</w:t>
            </w:r>
            <w:r w:rsidRPr="00742629">
              <w:rPr>
                <w:rFonts w:hint="eastAsia"/>
                <w:sz w:val="18"/>
                <w:szCs w:val="18"/>
              </w:rPr>
              <w:t>办法》第</w:t>
            </w:r>
            <w:r w:rsidRPr="00742629">
              <w:rPr>
                <w:rFonts w:hint="eastAsia"/>
                <w:sz w:val="18"/>
                <w:szCs w:val="18"/>
              </w:rPr>
              <w:t>83</w:t>
            </w:r>
            <w:r w:rsidRPr="00742629">
              <w:rPr>
                <w:rFonts w:hint="eastAsia"/>
                <w:sz w:val="18"/>
                <w:szCs w:val="18"/>
              </w:rPr>
              <w:t>条第</w:t>
            </w:r>
            <w:r w:rsidRPr="00742629">
              <w:rPr>
                <w:rFonts w:hint="eastAsia"/>
                <w:sz w:val="18"/>
                <w:szCs w:val="18"/>
              </w:rPr>
              <w:t>1</w:t>
            </w:r>
            <w:r w:rsidRPr="00742629">
              <w:rPr>
                <w:rFonts w:hint="eastAsia"/>
                <w:sz w:val="18"/>
                <w:szCs w:val="18"/>
              </w:rPr>
              <w:t>款第</w:t>
            </w:r>
            <w:r w:rsidRPr="00742629">
              <w:rPr>
                <w:rFonts w:hint="eastAsia"/>
                <w:sz w:val="18"/>
                <w:szCs w:val="18"/>
              </w:rPr>
              <w:t>2</w:t>
            </w:r>
            <w:r w:rsidRPr="00742629">
              <w:rPr>
                <w:rFonts w:hint="eastAsia"/>
                <w:sz w:val="18"/>
                <w:szCs w:val="18"/>
              </w:rPr>
              <w:t>项</w:t>
            </w:r>
          </w:p>
        </w:tc>
        <w:tc>
          <w:tcPr>
            <w:tcW w:w="3827" w:type="dxa"/>
            <w:vAlign w:val="center"/>
          </w:tcPr>
          <w:p w:rsidR="00C84381" w:rsidRPr="00742629" w:rsidRDefault="009C2B0B" w:rsidP="00742629">
            <w:pPr>
              <w:spacing w:line="220" w:lineRule="atLeast"/>
              <w:jc w:val="center"/>
              <w:rPr>
                <w:sz w:val="18"/>
                <w:szCs w:val="18"/>
              </w:rPr>
            </w:pPr>
            <w:r w:rsidRPr="00742629">
              <w:rPr>
                <w:rFonts w:hint="eastAsia"/>
                <w:sz w:val="18"/>
                <w:szCs w:val="18"/>
              </w:rPr>
              <w:t>对饮酒后驾驶机动车的的行为处罚款</w:t>
            </w:r>
            <w:r w:rsidRPr="00742629">
              <w:rPr>
                <w:rFonts w:hint="eastAsia"/>
                <w:sz w:val="18"/>
                <w:szCs w:val="18"/>
              </w:rPr>
              <w:t>1500</w:t>
            </w:r>
            <w:r w:rsidRPr="00742629">
              <w:rPr>
                <w:rFonts w:hint="eastAsia"/>
                <w:sz w:val="18"/>
                <w:szCs w:val="18"/>
              </w:rPr>
              <w:t>元，暂扣驾驶证六个月的处罚；对</w:t>
            </w:r>
            <w:r w:rsidR="00374E9B" w:rsidRPr="00742629">
              <w:rPr>
                <w:rFonts w:hint="eastAsia"/>
                <w:sz w:val="18"/>
                <w:szCs w:val="18"/>
              </w:rPr>
              <w:t>驾驶人在驾驶证超过有效期仍驾驶机动车</w:t>
            </w:r>
            <w:r w:rsidRPr="00742629">
              <w:rPr>
                <w:rFonts w:hint="eastAsia"/>
                <w:sz w:val="18"/>
                <w:szCs w:val="18"/>
              </w:rPr>
              <w:t>的行为处</w:t>
            </w:r>
            <w:r w:rsidRPr="00742629">
              <w:rPr>
                <w:rFonts w:hint="eastAsia"/>
                <w:sz w:val="18"/>
                <w:szCs w:val="18"/>
              </w:rPr>
              <w:t>200</w:t>
            </w:r>
            <w:r w:rsidRPr="00742629">
              <w:rPr>
                <w:rFonts w:hint="eastAsia"/>
                <w:sz w:val="18"/>
                <w:szCs w:val="18"/>
              </w:rPr>
              <w:t>元罚款的处罚；</w:t>
            </w:r>
          </w:p>
        </w:tc>
      </w:tr>
      <w:tr w:rsidR="00C84381" w:rsidRPr="00742629" w:rsidTr="00742629">
        <w:tc>
          <w:tcPr>
            <w:tcW w:w="1420" w:type="dxa"/>
            <w:vAlign w:val="center"/>
          </w:tcPr>
          <w:p w:rsidR="00C84381" w:rsidRPr="00742629" w:rsidRDefault="00374E9B" w:rsidP="00742629">
            <w:pPr>
              <w:spacing w:line="220" w:lineRule="atLeast"/>
              <w:jc w:val="center"/>
              <w:rPr>
                <w:sz w:val="18"/>
                <w:szCs w:val="18"/>
              </w:rPr>
            </w:pPr>
            <w:r w:rsidRPr="00742629">
              <w:rPr>
                <w:rFonts w:hint="eastAsia"/>
                <w:sz w:val="18"/>
                <w:szCs w:val="18"/>
              </w:rPr>
              <w:t>王继法</w:t>
            </w:r>
          </w:p>
        </w:tc>
        <w:tc>
          <w:tcPr>
            <w:tcW w:w="2378" w:type="dxa"/>
            <w:vAlign w:val="center"/>
          </w:tcPr>
          <w:p w:rsidR="00C84381" w:rsidRPr="00742629" w:rsidRDefault="00374E9B" w:rsidP="00742629">
            <w:pPr>
              <w:spacing w:line="220" w:lineRule="atLeast"/>
              <w:jc w:val="center"/>
              <w:rPr>
                <w:sz w:val="18"/>
                <w:szCs w:val="18"/>
              </w:rPr>
            </w:pPr>
            <w:r w:rsidRPr="00742629">
              <w:rPr>
                <w:sz w:val="18"/>
                <w:szCs w:val="18"/>
              </w:rPr>
              <w:t>33090219</w:t>
            </w:r>
            <w:r w:rsidRPr="00742629">
              <w:rPr>
                <w:rFonts w:hint="eastAsia"/>
                <w:sz w:val="18"/>
                <w:szCs w:val="18"/>
              </w:rPr>
              <w:t>******</w:t>
            </w:r>
            <w:r w:rsidRPr="00742629">
              <w:rPr>
                <w:sz w:val="18"/>
                <w:szCs w:val="18"/>
              </w:rPr>
              <w:t>6213</w:t>
            </w:r>
          </w:p>
        </w:tc>
        <w:tc>
          <w:tcPr>
            <w:tcW w:w="1420" w:type="dxa"/>
            <w:vAlign w:val="center"/>
          </w:tcPr>
          <w:p w:rsidR="00C84381" w:rsidRPr="00742629" w:rsidRDefault="00374E9B" w:rsidP="00742629">
            <w:pPr>
              <w:spacing w:line="220" w:lineRule="atLeast"/>
              <w:jc w:val="center"/>
              <w:rPr>
                <w:sz w:val="18"/>
                <w:szCs w:val="18"/>
              </w:rPr>
            </w:pPr>
            <w:r w:rsidRPr="00742629">
              <w:rPr>
                <w:sz w:val="18"/>
                <w:szCs w:val="18"/>
              </w:rPr>
              <w:t>2017-09-15</w:t>
            </w:r>
          </w:p>
        </w:tc>
        <w:tc>
          <w:tcPr>
            <w:tcW w:w="2403" w:type="dxa"/>
            <w:vAlign w:val="center"/>
          </w:tcPr>
          <w:p w:rsidR="00C84381" w:rsidRPr="00742629" w:rsidRDefault="00374E9B" w:rsidP="00742629">
            <w:pPr>
              <w:spacing w:line="220" w:lineRule="atLeast"/>
              <w:jc w:val="center"/>
              <w:rPr>
                <w:sz w:val="18"/>
                <w:szCs w:val="18"/>
              </w:rPr>
            </w:pPr>
            <w:r w:rsidRPr="00742629">
              <w:rPr>
                <w:rFonts w:hint="eastAsia"/>
                <w:sz w:val="18"/>
                <w:szCs w:val="18"/>
              </w:rPr>
              <w:t>饮酒后驾驶机动车的</w:t>
            </w:r>
            <w:r w:rsidRPr="00742629">
              <w:rPr>
                <w:rFonts w:hint="eastAsia"/>
                <w:sz w:val="18"/>
                <w:szCs w:val="18"/>
              </w:rPr>
              <w:t xml:space="preserve">; </w:t>
            </w:r>
            <w:r w:rsidRPr="00742629">
              <w:rPr>
                <w:rFonts w:hint="eastAsia"/>
                <w:sz w:val="18"/>
                <w:szCs w:val="18"/>
              </w:rPr>
              <w:t>驾驶证公告停止使用期间仍驾驶机动车的</w:t>
            </w:r>
          </w:p>
        </w:tc>
        <w:tc>
          <w:tcPr>
            <w:tcW w:w="2552" w:type="dxa"/>
            <w:vAlign w:val="center"/>
          </w:tcPr>
          <w:p w:rsidR="00C84381" w:rsidRPr="00742629" w:rsidRDefault="00374E9B" w:rsidP="00742629">
            <w:pPr>
              <w:spacing w:line="220" w:lineRule="atLeast"/>
              <w:jc w:val="center"/>
              <w:rPr>
                <w:sz w:val="18"/>
                <w:szCs w:val="18"/>
              </w:rPr>
            </w:pPr>
            <w:r w:rsidRPr="00742629">
              <w:rPr>
                <w:rFonts w:hint="eastAsia"/>
                <w:sz w:val="18"/>
                <w:szCs w:val="18"/>
              </w:rPr>
              <w:t>《中华人民共和国道路交通安全法》第</w:t>
            </w:r>
            <w:r w:rsidRPr="00742629">
              <w:rPr>
                <w:rFonts w:hint="eastAsia"/>
                <w:sz w:val="18"/>
                <w:szCs w:val="18"/>
              </w:rPr>
              <w:t>91</w:t>
            </w:r>
            <w:r w:rsidRPr="00742629">
              <w:rPr>
                <w:rFonts w:hint="eastAsia"/>
                <w:sz w:val="18"/>
                <w:szCs w:val="18"/>
              </w:rPr>
              <w:t>条第</w:t>
            </w:r>
            <w:r w:rsidRPr="00742629">
              <w:rPr>
                <w:rFonts w:hint="eastAsia"/>
                <w:sz w:val="18"/>
                <w:szCs w:val="18"/>
              </w:rPr>
              <w:t>1</w:t>
            </w:r>
            <w:r w:rsidRPr="00742629">
              <w:rPr>
                <w:rFonts w:hint="eastAsia"/>
                <w:sz w:val="18"/>
                <w:szCs w:val="18"/>
              </w:rPr>
              <w:t>款；《浙江省实施</w:t>
            </w:r>
            <w:r w:rsidRPr="00742629">
              <w:rPr>
                <w:rFonts w:hint="eastAsia"/>
                <w:sz w:val="18"/>
                <w:szCs w:val="18"/>
              </w:rPr>
              <w:t>&lt;</w:t>
            </w:r>
            <w:r w:rsidRPr="00742629">
              <w:rPr>
                <w:rFonts w:hint="eastAsia"/>
                <w:sz w:val="18"/>
                <w:szCs w:val="18"/>
              </w:rPr>
              <w:t>中华人民共和国道路交通安全法</w:t>
            </w:r>
            <w:r w:rsidRPr="00742629">
              <w:rPr>
                <w:rFonts w:hint="eastAsia"/>
                <w:sz w:val="18"/>
                <w:szCs w:val="18"/>
              </w:rPr>
              <w:t>&gt;</w:t>
            </w:r>
            <w:r w:rsidRPr="00742629">
              <w:rPr>
                <w:rFonts w:hint="eastAsia"/>
                <w:sz w:val="18"/>
                <w:szCs w:val="18"/>
              </w:rPr>
              <w:t>办法》第</w:t>
            </w:r>
            <w:r w:rsidRPr="00742629">
              <w:rPr>
                <w:rFonts w:hint="eastAsia"/>
                <w:sz w:val="18"/>
                <w:szCs w:val="18"/>
              </w:rPr>
              <w:t>83</w:t>
            </w:r>
            <w:r w:rsidRPr="00742629">
              <w:rPr>
                <w:rFonts w:hint="eastAsia"/>
                <w:sz w:val="18"/>
                <w:szCs w:val="18"/>
              </w:rPr>
              <w:t>条第</w:t>
            </w:r>
            <w:r w:rsidRPr="00742629">
              <w:rPr>
                <w:rFonts w:hint="eastAsia"/>
                <w:sz w:val="18"/>
                <w:szCs w:val="18"/>
              </w:rPr>
              <w:t>1</w:t>
            </w:r>
            <w:r w:rsidRPr="00742629">
              <w:rPr>
                <w:rFonts w:hint="eastAsia"/>
                <w:sz w:val="18"/>
                <w:szCs w:val="18"/>
              </w:rPr>
              <w:t>款第</w:t>
            </w:r>
            <w:r w:rsidRPr="00742629">
              <w:rPr>
                <w:rFonts w:hint="eastAsia"/>
                <w:sz w:val="18"/>
                <w:szCs w:val="18"/>
              </w:rPr>
              <w:t>2</w:t>
            </w:r>
            <w:r w:rsidRPr="00742629">
              <w:rPr>
                <w:rFonts w:hint="eastAsia"/>
                <w:sz w:val="18"/>
                <w:szCs w:val="18"/>
              </w:rPr>
              <w:t>项</w:t>
            </w:r>
          </w:p>
        </w:tc>
        <w:tc>
          <w:tcPr>
            <w:tcW w:w="3827" w:type="dxa"/>
            <w:vAlign w:val="center"/>
          </w:tcPr>
          <w:p w:rsidR="00C84381" w:rsidRPr="00742629" w:rsidRDefault="00374E9B" w:rsidP="00742629">
            <w:pPr>
              <w:spacing w:line="220" w:lineRule="atLeast"/>
              <w:jc w:val="center"/>
              <w:rPr>
                <w:sz w:val="18"/>
                <w:szCs w:val="18"/>
              </w:rPr>
            </w:pPr>
            <w:r w:rsidRPr="00742629">
              <w:rPr>
                <w:rFonts w:hint="eastAsia"/>
                <w:sz w:val="18"/>
                <w:szCs w:val="18"/>
              </w:rPr>
              <w:t>对饮酒后驾驶机动车的的行为处罚款</w:t>
            </w:r>
            <w:r w:rsidRPr="00742629">
              <w:rPr>
                <w:rFonts w:hint="eastAsia"/>
                <w:sz w:val="18"/>
                <w:szCs w:val="18"/>
              </w:rPr>
              <w:t>1900</w:t>
            </w:r>
            <w:r w:rsidRPr="00742629">
              <w:rPr>
                <w:rFonts w:hint="eastAsia"/>
                <w:sz w:val="18"/>
                <w:szCs w:val="18"/>
              </w:rPr>
              <w:t>元，暂扣驾驶证六个月的处罚；对驾驶证公告停止使用期间仍驾驶机动车的行为处</w:t>
            </w:r>
            <w:r w:rsidRPr="00742629">
              <w:rPr>
                <w:rFonts w:hint="eastAsia"/>
                <w:sz w:val="18"/>
                <w:szCs w:val="18"/>
              </w:rPr>
              <w:t>200</w:t>
            </w:r>
            <w:r w:rsidRPr="00742629">
              <w:rPr>
                <w:rFonts w:hint="eastAsia"/>
                <w:sz w:val="18"/>
                <w:szCs w:val="18"/>
              </w:rPr>
              <w:t>元罚款的处罚；</w:t>
            </w:r>
          </w:p>
        </w:tc>
      </w:tr>
    </w:tbl>
    <w:p w:rsidR="004C1C86" w:rsidRDefault="00CD3AFF" w:rsidP="009D3120">
      <w:pPr>
        <w:spacing w:line="220" w:lineRule="atLeast"/>
        <w:ind w:firstLineChars="200" w:firstLine="440"/>
      </w:pPr>
      <w:r>
        <w:rPr>
          <w:rFonts w:hint="eastAsia"/>
        </w:rPr>
        <w:t>自公告之日起</w:t>
      </w:r>
      <w:r>
        <w:rPr>
          <w:rFonts w:hint="eastAsia"/>
        </w:rPr>
        <w:t>7</w:t>
      </w:r>
      <w:r>
        <w:rPr>
          <w:rFonts w:hint="eastAsia"/>
        </w:rPr>
        <w:t>日内，违法行为人</w:t>
      </w:r>
      <w:r w:rsidR="00C84381">
        <w:rPr>
          <w:rFonts w:hint="eastAsia"/>
        </w:rPr>
        <w:t>有权向大队提出陈述和申辩。逾期未提出的，公安机关交通管理部门将依法作出处罚决定。</w:t>
      </w:r>
    </w:p>
    <w:p w:rsidR="00C84381" w:rsidRDefault="00C84381" w:rsidP="0089015D">
      <w:pPr>
        <w:spacing w:line="220" w:lineRule="atLeast"/>
        <w:ind w:firstLineChars="200" w:firstLine="440"/>
      </w:pPr>
      <w:r>
        <w:rPr>
          <w:rFonts w:hint="eastAsia"/>
        </w:rPr>
        <w:t>特此公告。</w:t>
      </w:r>
    </w:p>
    <w:p w:rsidR="00C84381" w:rsidRDefault="00C84381" w:rsidP="009D3120">
      <w:pPr>
        <w:spacing w:line="220" w:lineRule="atLeast"/>
        <w:ind w:firstLineChars="4600" w:firstLine="10120"/>
        <w:jc w:val="right"/>
      </w:pPr>
      <w:r>
        <w:rPr>
          <w:rFonts w:hint="eastAsia"/>
        </w:rPr>
        <w:t>舟山市公安局交通警察支队定海大队</w:t>
      </w:r>
      <w:r>
        <w:rPr>
          <w:rFonts w:hint="eastAsia"/>
        </w:rPr>
        <w:t>2020</w:t>
      </w:r>
      <w:r>
        <w:rPr>
          <w:rFonts w:hint="eastAsia"/>
        </w:rPr>
        <w:t>年</w:t>
      </w:r>
      <w:r>
        <w:rPr>
          <w:rFonts w:hint="eastAsia"/>
        </w:rPr>
        <w:t>11</w:t>
      </w:r>
      <w:r>
        <w:rPr>
          <w:rFonts w:hint="eastAsia"/>
        </w:rPr>
        <w:t>月</w:t>
      </w:r>
      <w:r>
        <w:rPr>
          <w:rFonts w:hint="eastAsia"/>
        </w:rPr>
        <w:t>26</w:t>
      </w:r>
      <w:r>
        <w:rPr>
          <w:rFonts w:hint="eastAsia"/>
        </w:rPr>
        <w:t>日</w:t>
      </w:r>
    </w:p>
    <w:p w:rsidR="004C1C86" w:rsidRDefault="004C1C86" w:rsidP="00D31D50">
      <w:pPr>
        <w:spacing w:line="220" w:lineRule="atLeast"/>
      </w:pPr>
    </w:p>
    <w:sectPr w:rsidR="004C1C86" w:rsidSect="00097A28">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97A28"/>
    <w:rsid w:val="0030331A"/>
    <w:rsid w:val="00323B43"/>
    <w:rsid w:val="00374E9B"/>
    <w:rsid w:val="003D37D8"/>
    <w:rsid w:val="00426133"/>
    <w:rsid w:val="004358AB"/>
    <w:rsid w:val="004C1C86"/>
    <w:rsid w:val="00742629"/>
    <w:rsid w:val="0089015D"/>
    <w:rsid w:val="008B7726"/>
    <w:rsid w:val="008F6DAC"/>
    <w:rsid w:val="009C2B0B"/>
    <w:rsid w:val="009D3120"/>
    <w:rsid w:val="00AA0F82"/>
    <w:rsid w:val="00C84381"/>
    <w:rsid w:val="00CD3AFF"/>
    <w:rsid w:val="00D31D50"/>
    <w:rsid w:val="00EE4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cp:lastPrinted>2020-11-26T07:30:00Z</cp:lastPrinted>
  <dcterms:created xsi:type="dcterms:W3CDTF">2008-09-11T17:20:00Z</dcterms:created>
  <dcterms:modified xsi:type="dcterms:W3CDTF">2020-11-26T07:31:00Z</dcterms:modified>
</cp:coreProperties>
</file>